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180" w:afterAutospacing="0" w:line="288" w:lineRule="atLeast"/>
        <w:ind w:left="0" w:firstLine="420"/>
        <w:jc w:val="left"/>
        <w:rPr>
          <w:rFonts w:hint="eastAsia" w:ascii="Arial" w:hAnsi="Arial" w:cs="Arial"/>
          <w:b w:val="0"/>
          <w:i w:val="0"/>
          <w:caps w:val="0"/>
          <w:color w:val="333333"/>
          <w:spacing w:val="0"/>
          <w:sz w:val="16"/>
          <w:szCs w:val="16"/>
        </w:rPr>
      </w:pPr>
      <w:r>
        <w:rPr>
          <w:rFonts w:hint="default" w:ascii="Arial" w:hAnsi="Arial" w:eastAsia="宋体" w:cs="Arial"/>
          <w:b/>
          <w:i w:val="0"/>
          <w:caps w:val="0"/>
          <w:color w:val="333333"/>
          <w:spacing w:val="0"/>
          <w:kern w:val="0"/>
          <w:sz w:val="16"/>
          <w:szCs w:val="16"/>
          <w:shd w:val="clear" w:fill="FFFFFF"/>
          <w:lang w:val="en-US" w:eastAsia="zh-CN" w:bidi="ar"/>
        </w:rPr>
        <w:t>国家职业教育改革实施方案</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136EC2"/>
          <w:spacing w:val="0"/>
          <w:kern w:val="0"/>
          <w:sz w:val="16"/>
          <w:szCs w:val="16"/>
          <w:u w:val="none"/>
          <w:shd w:val="clear" w:fill="FFFFFF"/>
          <w:lang w:val="en-US" w:eastAsia="zh-CN" w:bidi="ar"/>
        </w:rPr>
        <w:fldChar w:fldCharType="begin"/>
      </w:r>
      <w:r>
        <w:rPr>
          <w:rFonts w:hint="default" w:ascii="Arial" w:hAnsi="Arial" w:eastAsia="宋体" w:cs="Arial"/>
          <w:b w:val="0"/>
          <w:i w:val="0"/>
          <w:caps w:val="0"/>
          <w:color w:val="136EC2"/>
          <w:spacing w:val="0"/>
          <w:kern w:val="0"/>
          <w:sz w:val="16"/>
          <w:szCs w:val="16"/>
          <w:u w:val="none"/>
          <w:shd w:val="clear" w:fill="FFFFFF"/>
          <w:lang w:val="en-US" w:eastAsia="zh-CN" w:bidi="ar"/>
        </w:rPr>
        <w:instrText xml:space="preserve"> HYPERLINK "https://baike.baidu.com/item/%E8%81%8C%E4%B8%9A%E6%95%99%E8%82%B2/1903668" \t "https://baike.baidu.com/item/%E5%9B%BD%E5%8A%A1%E9%99%A2%E5%85%B3%E4%BA%8E%E5%8D%B0%E5%8F%91%E5%9B%BD%E5%AE%B6%E8%81%8C%E4%B8%9A%E6%95%99%E8%82%B2%E6%94%B9%E9%9D%A9%E5%AE%9E%E6%96%BD%E6%96%B9%E6%A1%88%E7%9A%84%E9%80%9A%E7%9F%A5/_blank" </w:instrText>
      </w:r>
      <w:r>
        <w:rPr>
          <w:rFonts w:hint="default" w:ascii="Arial" w:hAnsi="Arial" w:eastAsia="宋体" w:cs="Arial"/>
          <w:b w:val="0"/>
          <w:i w:val="0"/>
          <w:caps w:val="0"/>
          <w:color w:val="136EC2"/>
          <w:spacing w:val="0"/>
          <w:kern w:val="0"/>
          <w:sz w:val="16"/>
          <w:szCs w:val="16"/>
          <w:u w:val="none"/>
          <w:shd w:val="clear" w:fill="FFFFFF"/>
          <w:lang w:val="en-US" w:eastAsia="zh-CN" w:bidi="ar"/>
        </w:rPr>
        <w:fldChar w:fldCharType="separate"/>
      </w:r>
      <w:r>
        <w:rPr>
          <w:rStyle w:val="3"/>
          <w:rFonts w:hint="default" w:ascii="Arial" w:hAnsi="Arial" w:eastAsia="宋体" w:cs="Arial"/>
          <w:b w:val="0"/>
          <w:i w:val="0"/>
          <w:caps w:val="0"/>
          <w:color w:val="136EC2"/>
          <w:spacing w:val="0"/>
          <w:sz w:val="16"/>
          <w:szCs w:val="16"/>
          <w:u w:val="none"/>
          <w:shd w:val="clear" w:fill="FFFFFF"/>
        </w:rPr>
        <w:t>职业教育</w:t>
      </w:r>
      <w:r>
        <w:rPr>
          <w:rFonts w:hint="default" w:ascii="Arial" w:hAnsi="Arial" w:eastAsia="宋体" w:cs="Arial"/>
          <w:b w:val="0"/>
          <w:i w:val="0"/>
          <w:caps w:val="0"/>
          <w:color w:val="136EC2"/>
          <w:spacing w:val="0"/>
          <w:kern w:val="0"/>
          <w:sz w:val="16"/>
          <w:szCs w:val="16"/>
          <w:u w:val="none"/>
          <w:shd w:val="clear" w:fill="FFFFFF"/>
          <w:lang w:val="en-US" w:eastAsia="zh-CN" w:bidi="ar"/>
        </w:rPr>
        <w:fldChar w:fldCharType="end"/>
      </w:r>
      <w:r>
        <w:rPr>
          <w:rFonts w:hint="default" w:ascii="Arial" w:hAnsi="Arial" w:eastAsia="宋体" w:cs="Arial"/>
          <w:b w:val="0"/>
          <w:i w:val="0"/>
          <w:caps w:val="0"/>
          <w:color w:val="333333"/>
          <w:spacing w:val="0"/>
          <w:kern w:val="0"/>
          <w:sz w:val="16"/>
          <w:szCs w:val="16"/>
          <w:shd w:val="clear" w:fill="FFFFFF"/>
          <w:lang w:val="en-US" w:eastAsia="zh-CN" w:bidi="ar"/>
        </w:rPr>
        <w:t>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w:t>
      </w:r>
      <w:r>
        <w:rPr>
          <w:rFonts w:hint="default" w:ascii="Arial" w:hAnsi="Arial" w:eastAsia="宋体" w:cs="Arial"/>
          <w:b w:val="0"/>
          <w:i w:val="0"/>
          <w:caps w:val="0"/>
          <w:color w:val="136EC2"/>
          <w:spacing w:val="0"/>
          <w:kern w:val="0"/>
          <w:sz w:val="16"/>
          <w:szCs w:val="16"/>
          <w:u w:val="none"/>
          <w:shd w:val="clear" w:fill="FFFFFF"/>
          <w:lang w:val="en-US" w:eastAsia="zh-CN" w:bidi="ar"/>
        </w:rPr>
        <w:fldChar w:fldCharType="begin"/>
      </w:r>
      <w:r>
        <w:rPr>
          <w:rFonts w:hint="default" w:ascii="Arial" w:hAnsi="Arial" w:eastAsia="宋体" w:cs="Arial"/>
          <w:b w:val="0"/>
          <w:i w:val="0"/>
          <w:caps w:val="0"/>
          <w:color w:val="136EC2"/>
          <w:spacing w:val="0"/>
          <w:kern w:val="0"/>
          <w:sz w:val="16"/>
          <w:szCs w:val="16"/>
          <w:u w:val="none"/>
          <w:shd w:val="clear" w:fill="FFFFFF"/>
          <w:lang w:val="en-US" w:eastAsia="zh-CN" w:bidi="ar"/>
        </w:rPr>
        <w:instrText xml:space="preserve"> HYPERLINK "https://baike.baidu.com/item/%E4%B8%AD%E5%8D%8E%E4%BA%BA%E6%B0%91%E5%85%B1%E5%92%8C%E5%9B%BD%E8%81%8C%E4%B8%9A%E6%95%99%E8%82%B2%E6%B3%95/2342798" \t "https://baike.baidu.com/item/%E5%9B%BD%E5%8A%A1%E9%99%A2%E5%85%B3%E4%BA%8E%E5%8D%B0%E5%8F%91%E5%9B%BD%E5%AE%B6%E8%81%8C%E4%B8%9A%E6%95%99%E8%82%B2%E6%94%B9%E9%9D%A9%E5%AE%9E%E6%96%BD%E6%96%B9%E6%A1%88%E7%9A%84%E9%80%9A%E7%9F%A5/_blank" </w:instrText>
      </w:r>
      <w:r>
        <w:rPr>
          <w:rFonts w:hint="default" w:ascii="Arial" w:hAnsi="Arial" w:eastAsia="宋体" w:cs="Arial"/>
          <w:b w:val="0"/>
          <w:i w:val="0"/>
          <w:caps w:val="0"/>
          <w:color w:val="136EC2"/>
          <w:spacing w:val="0"/>
          <w:kern w:val="0"/>
          <w:sz w:val="16"/>
          <w:szCs w:val="16"/>
          <w:u w:val="none"/>
          <w:shd w:val="clear" w:fill="FFFFFF"/>
          <w:lang w:val="en-US" w:eastAsia="zh-CN" w:bidi="ar"/>
        </w:rPr>
        <w:fldChar w:fldCharType="separate"/>
      </w:r>
      <w:r>
        <w:rPr>
          <w:rStyle w:val="3"/>
          <w:rFonts w:hint="default" w:ascii="Arial" w:hAnsi="Arial" w:eastAsia="宋体" w:cs="Arial"/>
          <w:b w:val="0"/>
          <w:i w:val="0"/>
          <w:caps w:val="0"/>
          <w:color w:val="136EC2"/>
          <w:spacing w:val="0"/>
          <w:sz w:val="16"/>
          <w:szCs w:val="16"/>
          <w:u w:val="none"/>
          <w:shd w:val="clear" w:fill="FFFFFF"/>
        </w:rPr>
        <w:t>中华人民共和国职业教育法</w:t>
      </w:r>
      <w:r>
        <w:rPr>
          <w:rFonts w:hint="default" w:ascii="Arial" w:hAnsi="Arial" w:eastAsia="宋体" w:cs="Arial"/>
          <w:b w:val="0"/>
          <w:i w:val="0"/>
          <w:caps w:val="0"/>
          <w:color w:val="136EC2"/>
          <w:spacing w:val="0"/>
          <w:kern w:val="0"/>
          <w:sz w:val="16"/>
          <w:szCs w:val="16"/>
          <w:u w:val="none"/>
          <w:shd w:val="clear" w:fill="FFFFFF"/>
          <w:lang w:val="en-US" w:eastAsia="zh-CN" w:bidi="ar"/>
        </w:rPr>
        <w:fldChar w:fldCharType="end"/>
      </w:r>
      <w:r>
        <w:rPr>
          <w:rFonts w:hint="default" w:ascii="Arial" w:hAnsi="Arial" w:eastAsia="宋体" w:cs="Arial"/>
          <w:b w:val="0"/>
          <w:i w:val="0"/>
          <w:caps w:val="0"/>
          <w:color w:val="333333"/>
          <w:spacing w:val="0"/>
          <w:kern w:val="0"/>
          <w:sz w:val="16"/>
          <w:szCs w:val="16"/>
          <w:shd w:val="clear" w:fill="FFFFFF"/>
          <w:lang w:val="en-US" w:eastAsia="zh-CN" w:bidi="ar"/>
        </w:rPr>
        <w:t>》，制定本实施方案。</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总体要求与目标：坚持以</w:t>
      </w:r>
      <w:r>
        <w:rPr>
          <w:rFonts w:hint="default" w:ascii="Arial" w:hAnsi="Arial" w:eastAsia="宋体" w:cs="Arial"/>
          <w:b w:val="0"/>
          <w:i w:val="0"/>
          <w:caps w:val="0"/>
          <w:color w:val="136EC2"/>
          <w:spacing w:val="0"/>
          <w:kern w:val="0"/>
          <w:sz w:val="16"/>
          <w:szCs w:val="16"/>
          <w:u w:val="none"/>
          <w:shd w:val="clear" w:fill="FFFFFF"/>
          <w:lang w:val="en-US" w:eastAsia="zh-CN" w:bidi="ar"/>
        </w:rPr>
        <w:fldChar w:fldCharType="begin"/>
      </w:r>
      <w:r>
        <w:rPr>
          <w:rFonts w:hint="default" w:ascii="Arial" w:hAnsi="Arial" w:eastAsia="宋体" w:cs="Arial"/>
          <w:b w:val="0"/>
          <w:i w:val="0"/>
          <w:caps w:val="0"/>
          <w:color w:val="136EC2"/>
          <w:spacing w:val="0"/>
          <w:kern w:val="0"/>
          <w:sz w:val="16"/>
          <w:szCs w:val="16"/>
          <w:u w:val="none"/>
          <w:shd w:val="clear" w:fill="FFFFFF"/>
          <w:lang w:val="en-US" w:eastAsia="zh-CN" w:bidi="ar"/>
        </w:rPr>
        <w:instrText xml:space="preserve"> HYPERLINK "https://baike.baidu.com/item/%E4%B9%A0%E8%BF%91%E5%B9%B3%E6%96%B0%E6%97%B6%E4%BB%A3%E4%B8%AD%E5%9B%BD%E7%89%B9%E8%89%B2%E7%A4%BE%E4%BC%9A%E4%B8%BB%E4%B9%89%E6%80%9D%E6%83%B3/22176950" \t "https://baike.baidu.com/item/%E5%9B%BD%E5%8A%A1%E9%99%A2%E5%85%B3%E4%BA%8E%E5%8D%B0%E5%8F%91%E5%9B%BD%E5%AE%B6%E8%81%8C%E4%B8%9A%E6%95%99%E8%82%B2%E6%94%B9%E9%9D%A9%E5%AE%9E%E6%96%BD%E6%96%B9%E6%A1%88%E7%9A%84%E9%80%9A%E7%9F%A5/_blank" </w:instrText>
      </w:r>
      <w:r>
        <w:rPr>
          <w:rFonts w:hint="default" w:ascii="Arial" w:hAnsi="Arial" w:eastAsia="宋体" w:cs="Arial"/>
          <w:b w:val="0"/>
          <w:i w:val="0"/>
          <w:caps w:val="0"/>
          <w:color w:val="136EC2"/>
          <w:spacing w:val="0"/>
          <w:kern w:val="0"/>
          <w:sz w:val="16"/>
          <w:szCs w:val="16"/>
          <w:u w:val="none"/>
          <w:shd w:val="clear" w:fill="FFFFFF"/>
          <w:lang w:val="en-US" w:eastAsia="zh-CN" w:bidi="ar"/>
        </w:rPr>
        <w:fldChar w:fldCharType="separate"/>
      </w:r>
      <w:r>
        <w:rPr>
          <w:rStyle w:val="3"/>
          <w:rFonts w:hint="default" w:ascii="Arial" w:hAnsi="Arial" w:eastAsia="宋体" w:cs="Arial"/>
          <w:b w:val="0"/>
          <w:i w:val="0"/>
          <w:caps w:val="0"/>
          <w:color w:val="136EC2"/>
          <w:spacing w:val="0"/>
          <w:sz w:val="16"/>
          <w:szCs w:val="16"/>
          <w:u w:val="none"/>
          <w:shd w:val="clear" w:fill="FFFFFF"/>
        </w:rPr>
        <w:t>习近平新时代中国特色社会主义思想</w:t>
      </w:r>
      <w:r>
        <w:rPr>
          <w:rFonts w:hint="default" w:ascii="Arial" w:hAnsi="Arial" w:eastAsia="宋体" w:cs="Arial"/>
          <w:b w:val="0"/>
          <w:i w:val="0"/>
          <w:caps w:val="0"/>
          <w:color w:val="136EC2"/>
          <w:spacing w:val="0"/>
          <w:kern w:val="0"/>
          <w:sz w:val="16"/>
          <w:szCs w:val="16"/>
          <w:u w:val="none"/>
          <w:shd w:val="clear" w:fill="FFFFFF"/>
          <w:lang w:val="en-US" w:eastAsia="zh-CN" w:bidi="ar"/>
        </w:rPr>
        <w:fldChar w:fldCharType="end"/>
      </w:r>
      <w:r>
        <w:rPr>
          <w:rFonts w:hint="default" w:ascii="Arial" w:hAnsi="Arial" w:eastAsia="宋体" w:cs="Arial"/>
          <w:b w:val="0"/>
          <w:i w:val="0"/>
          <w:caps w:val="0"/>
          <w:color w:val="333333"/>
          <w:spacing w:val="0"/>
          <w:kern w:val="0"/>
          <w:sz w:val="16"/>
          <w:szCs w:val="16"/>
          <w:shd w:val="clear" w:fill="FFFFFF"/>
          <w:lang w:val="en-US" w:eastAsia="zh-CN" w:bidi="ar"/>
        </w:rPr>
        <w:t>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一、完善国家职业教育制度体系</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（一）健全国家职业教育制度框架。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（二）提高中等职业教育发展水平。</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鼓励中等职业学校联合中小学开展劳动和职业启蒙教育，将动手实践内容纳入中小学相关课程和学生综合素质评价。</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（三）推进高等职业教育高质量发展。</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（四）完善高层次应用型人才培养体系。</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二、构建职业教育国家标准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（五）完善教育教学相关标准。</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（六）启动1+X证书制度试点工作。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（七）开展高质量职业培训。</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（八）实现学习成果的认定、积累和转换。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三、促进产教融合校企“双元”育人</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（九）坚持知行合一、工学结合。</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（十）推动校企全面加强深度合作。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（十一）打造一批高水平实训基地。</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（十二）多措并举打造“双师型”教师队伍。</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四、建设多元办学格局</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（十三）推动企业和社会力量举办高质量职业教育。</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（十四）做优职业教育培训评价组织。</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五、完善技术技能人才保障政策</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（十五）提高技术技能人才待遇水平。</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（十六）健全经费投入机制。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六、加强职业教育办学质量督导评价</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（十七）建立健全职业教育质量评价和督导评估制度。</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（十八）支持组建国家职业教育指导咨询委员会。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七、做好改革组织实施工作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（十九）加强党对职业教育工作的全面领导。</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（二十）完善国务院职业教育工作部际联席会议制度。</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b w:val="0"/>
          <w:i w:val="0"/>
          <w:caps w:val="0"/>
          <w:color w:val="333333"/>
          <w:spacing w:val="0"/>
          <w:sz w:val="16"/>
          <w:szCs w:val="16"/>
        </w:rPr>
      </w:pPr>
      <w:r>
        <w:rPr>
          <w:rFonts w:hint="default" w:ascii="Arial" w:hAnsi="Arial" w:eastAsia="宋体" w:cs="Arial"/>
          <w:b w:val="0"/>
          <w:i w:val="0"/>
          <w:caps w:val="0"/>
          <w:color w:val="333333"/>
          <w:spacing w:val="0"/>
          <w:kern w:val="0"/>
          <w:sz w:val="16"/>
          <w:szCs w:val="16"/>
          <w:shd w:val="clear" w:fill="FFFFFF"/>
          <w:lang w:val="en-US" w:eastAsia="zh-CN" w:bidi="ar"/>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173D2"/>
    <w:rsid w:val="3F517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2019-02-24T00:30:00Z</dcterms:created>
  <dc:creator>戴智堂</dc:creator>
  <cp:lastModifiedBy>戴智堂</cp:lastModifiedBy>
  <dcterms:modified xsi:type="dcterms:W3CDTF">2019-02-24T00:43:16Z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