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bookmarkStart w:id="0" w:name="_GoBack"/>
      <w:r>
        <w:rPr>
          <w:rFonts w:hint="eastAsia"/>
          <w:sz w:val="36"/>
          <w:szCs w:val="44"/>
        </w:rPr>
        <w:t>构建“大国工匠”的高职培养体系</w:t>
      </w:r>
    </w:p>
    <w:bookmarkEnd w:id="0"/>
    <w:p>
      <w:pPr>
        <w:jc w:val="center"/>
        <w:rPr>
          <w:rFonts w:hint="eastAsia"/>
        </w:rPr>
      </w:pPr>
      <w:r>
        <w:rPr>
          <w:rFonts w:hint="eastAsia"/>
        </w:rPr>
        <w:t>李忠华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>大国工匠，体现的是以技报国的人生志向、精益求精的工匠精神、深厚扎实的专业技能、勤奋好学的职业态度。高职院校应以大国工匠培养为己任，构建全面的培养体系。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    一是敬业乐学的专业教育体系。所谓“知之者不如好之者,好之者不如乐之者”，能成为大国工匠的人，必然是热爱自己的工作岗位，并能从工作中获得乐趣的人。从进校开始，就应加强对学生的专业教育，除了让他们明白今后从事什么岗位，这些岗位需要什么样的知识、能力与素质外，还要让他们了解自己今后的发展空间，并找到具体的学习方法与路径，从而引导他们逐步树立持久的职业志向。为此要把握好四个环节，首先是专业教育环节，向学生讲清专业的人才培养定位、岗位面向和能就业的岗位群，所要学习的相关课程，三年后所具备的知识、能力与素质；其次是将行业、企业所需职业素养与职业文化要求，全程融入理论教学与实践教学，将行业要求内化为学生的行为；再其次是杰出校友的言传身教，让学生从他们身上看到自己未来的道路；最后是要有高素质的“双师结构”的教师团队，将企业现场的经验和工作技巧提前教给学生。这种专业教育坚持三年不断线，就能不断提升学生的专业忠诚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    二是对接产业的专业建设体系。要将学校的专业建设与产业链紧密对接，形成专业群，以达到校内教育教学资源的共享，并实现人才就业岗位的迁移。专业群的构建要关注两个要素，外部要素是专业群内各专业要对接产业链，内部要素是群内各专业要具备共同的职业岗位要求、有相同的学科基础，可以实现课程、师资、实训资源的共享。许多高职院校在对接产业链构建专业群后，在管理方式上，按照“以群建院”的模式来实现对专业群的管理及教学资源的共享，形成规模化培养的集聚效应。湖南省首批优质校建设单位湖南铁道职业技术学院，细化轨道交通产业的设计研发、生产制造、销售维护、运用检修、信息应用等关键环节，按照专业基础相通、技术领域相近、职业岗位相关、教学资源共享的原则，对准生产制造环节，组建轨道交通智能制造专业群，对准运用、维护检修环节，组建轨道交通装备运用专业群，对准设计研发和信息应用环节的新技术，组建轨道交通智能控制技术专业群，覆盖了轨道交通装备全产业链的核心环节，培养的学生“会产品制造、能驾驶机车、懂售后维修”，最大程度实现学生就业岗位的迁移度与灵活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    三是紧跟科技发展的课程体系。在今年11月召开的中央全面深化改革委员会第五次会议上提出，“要把职业教育摆在更加突出的位置，对接科技发展趋势和市场需求，完善职业教育和培训体系……”这种“对接科技发展趋势”，主要是通过模块式的课程体系和课程内容来实现的。课程作为专业群人才培养的基本载体和专业群建设的支撑性要素，是专业群内学生“学”与教师“教”相互作用过程中所传递信息总和的载体。只有紧密对接产业链，构建与行业、企业人才需求相匹配的专业群课程体系，才能培养出符合市场需求的高素质人才。专业群课程体系的构建，表现为“底层共享、中层分立、高层互选”的逻辑结构。底层共享包括公共基础课、专业基础课与专业共选课，这些课程应紧跟科技发展，融入更多的新科技、新技术内容，培养学生的通识能力和专业基本能力；中层分立指的是各专业的核心课，体现的是专业群内各专业的个性培养要求；高层互选指的是专业群的专业共选课，一般安排在大三的上学期，体现的是职业迁移能力的培养，为学生毕业后从事与本专业相关联的岗位打下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    四是特质培养的素质教育体系。在进行素质教育时，应重点体现学生“特质”的培养，这种特质，集中体现了行业特征的差别、学校办学历史的差别、学生实际情况的差别。中国轨道交通产业的技术发展，表现为重载、高速、新材料、绿色环保等趋势，如何在人才培养规格中体现这种技术发展的新要求？湖南铁道职业技术学院实施特质培养的素质教育，较好地解决了这一问题。首先是面向行业与相关企业调研，对接轨道交通行业技术发展和企业岗位特质要求，提炼出“阳光心态、精湛技能、服从服务、安全质量、国际视野”五大学生核心特质，解决校企之间人才供求规格不一致的问题；其次是构建三层递进的素质教育课程体系，形成学生特质培养的质量生成系统，三层递进课程体系指“认知引导、情感共鸣、行为塑造”三大课程模块，共设计了34门特质培养课程，解决学生特质培养条块分割、缺乏系统化设计的问题；再其次是制定《学生职业素养教育教学行动方案》，设计公共基础课程、专业课程、职业素养课程、主题班会（晨会）、操行测评课程等五大教学项目，将五大核心特质内容融入五大项目的教学目标、教学内容、教学方法、教学考核全过程，解决教学内容不落地、实效不明显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    以上四个体系，在实践中取得了突出成效。近年来，由湖南铁道职业技术学院培养的大国工匠达到24名，其中包括2017年被中国中车授予“高铁工匠”称号的刘少杰、陈士华、盛金龙和罗斌；2018年被授予“全国五一劳动奖章”的谢光明、获得全国首批“铁路工匠”的胡勇勇；“90后”全国铁路技术能手刘鹏……他们都是轨道交通行业的“大国工匠”。大国工匠的培养，已成为高职办学区别于本科教育的个性标签及亮丽名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8"/>
        </w:rPr>
        <w:t xml:space="preserve">    （作者系湖南铁道职业技术学院高职教育研究所副所长，教授）</w:t>
      </w:r>
    </w:p>
    <w:sectPr>
      <w:pgSz w:w="11906" w:h="16838"/>
      <w:pgMar w:top="1157" w:right="1179" w:bottom="1157" w:left="1179" w:header="851" w:footer="992" w:gutter="0"/>
      <w:cols w:equalWidth="0" w:num="2">
        <w:col w:w="4561" w:space="425"/>
        <w:col w:w="4561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D1B00"/>
    <w:rsid w:val="617315E4"/>
    <w:rsid w:val="68AD1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2018-12-13T12:17:00Z</dcterms:created>
  <dc:creator>Administrator</dc:creator>
  <cp:lastModifiedBy>Administrator</cp:lastModifiedBy>
  <dcterms:modified xsi:type="dcterms:W3CDTF">2018-12-14T02:27:44Z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